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应试人员新冠肺炎常态化疫情防控有关要求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按照我省新冠肺炎常态化疫情防控有关规定，对参加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人员有关要求如下：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请考生自收到资格审查公告之日起开始自测至现场资格审查当天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-3中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填写并作出承诺，经查验合格方可参加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3、有国（境）外旅居史的人员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来鲁前14天内有国内中、高风险地区旅居史的人员，疫情中、高风险地区本次疫情传播链首例病例确诊前14天内来鲁的人员和其他疫情重点地区来鲁的人员，以上人员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必须提前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0533-7198020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申报，并按照疫情防控有关规定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前申领“山东电子健康通行卡”以便查验（省外考生在来鲁申报模块申领），进入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现场资格审查现场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时提前准备并主动出示身份证及使用手机出示“山东电子健康通行卡”。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5、考生应根据自身情况提前安排出行，考生应遵循“两点一线”出行模式,“点对点”往返住所和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现场资格审查地点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。在保障安全的前提下,尽量选择步行、骑行、私家车往返考点。出行期间应当备齐口罩(一次性使用医用口罩或医用外科口罩)、手套、纸巾、速干手消毒剂等防护用品,严格做好个人防护,全程佩戴口罩。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6、请广大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近期注意做好自我健康管理，以免影响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后续面试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应聘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个人健康信息承诺书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省外考生山东省电子健康通行码（绿码）转换有问题的，可拨打咨询电话0531-67605180或0531-12345。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</w:t>
      </w:r>
      <w:r>
        <w:rPr>
          <w:rFonts w:hint="eastAsia" w:ascii="仿宋_GB2312" w:eastAsia="仿宋_GB2312"/>
          <w:sz w:val="28"/>
          <w:szCs w:val="28"/>
          <w:lang w:eastAsia="zh-CN"/>
        </w:rPr>
        <w:t>资格审查前</w:t>
      </w:r>
      <w:r>
        <w:rPr>
          <w:rFonts w:hint="eastAsia" w:ascii="仿宋_GB2312" w:eastAsia="仿宋_GB2312"/>
          <w:sz w:val="28"/>
          <w:szCs w:val="28"/>
        </w:rPr>
        <w:t>是否有发热、乏力、咳嗽或打喷嚏、咽痛、腹泻、呕吐、黄疸、皮疹、结膜充血等任一症状（是□/否□）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出现相关症状，应主动到定点医院进行排查。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1、本人已详细阅读有关公告，了解防疫要求，自愿遵守疫情防控管理规定。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</w:t>
      </w:r>
      <w:r>
        <w:rPr>
          <w:rFonts w:hint="eastAsia" w:ascii="仿宋_GB2312" w:eastAsia="仿宋_GB2312"/>
          <w:sz w:val="28"/>
          <w:szCs w:val="28"/>
          <w:lang w:eastAsia="zh-CN"/>
        </w:rPr>
        <w:t>资格审查</w:t>
      </w:r>
      <w:r>
        <w:rPr>
          <w:rFonts w:hint="eastAsia" w:ascii="仿宋_GB2312" w:eastAsia="仿宋_GB2312"/>
          <w:sz w:val="28"/>
          <w:szCs w:val="28"/>
        </w:rPr>
        <w:t>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山东省电子健康通行码可通过三种途径办理。一是微信关注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健康山东服务号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微信公众号，进入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防疫专区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办理；二是下载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爱山东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”APP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，进入首页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热点应用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办理；三是支付宝首页搜索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。其中：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、山东省居民可直接点击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栏目，选中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通行码申请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天内接触史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、外省来鲁（返鲁）人员，到达我省后须通过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、自境外入鲁（返鲁）人员隔离期满后，经检测合格的通过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0531-67605180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0531-12345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可使用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国务院客户端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微信小程序点击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，或在微信小程序中搜索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疫情风险等级查询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，或登陆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1E558C7"/>
    <w:rsid w:val="03AB060B"/>
    <w:rsid w:val="098C1B72"/>
    <w:rsid w:val="0C632363"/>
    <w:rsid w:val="0FEF74ED"/>
    <w:rsid w:val="23393DD2"/>
    <w:rsid w:val="23554F1B"/>
    <w:rsid w:val="31EF2604"/>
    <w:rsid w:val="376334A2"/>
    <w:rsid w:val="4C92735B"/>
    <w:rsid w:val="6AF0667C"/>
    <w:rsid w:val="7D1458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46</TotalTime>
  <ScaleCrop>false</ScaleCrop>
  <LinksUpToDate>false</LinksUpToDate>
  <CharactersWithSpaces>2907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机智滢</cp:lastModifiedBy>
  <cp:lastPrinted>2021-06-23T08:26:53Z</cp:lastPrinted>
  <dcterms:modified xsi:type="dcterms:W3CDTF">2021-06-23T08:56:22Z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